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BB1E92" w:rsidRPr="00BB1E92">
        <w:trPr>
          <w:trHeight w:val="450"/>
          <w:tblCellSpacing w:w="0" w:type="dxa"/>
          <w:jc w:val="center"/>
        </w:trPr>
        <w:tc>
          <w:tcPr>
            <w:tcW w:w="0" w:type="auto"/>
            <w:vAlign w:val="center"/>
            <w:hideMark/>
          </w:tcPr>
          <w:p w:rsidR="00BB1E92" w:rsidRPr="00BB1E92" w:rsidRDefault="00BB1E92" w:rsidP="00BB1E92">
            <w:pPr>
              <w:widowControl/>
              <w:jc w:val="center"/>
              <w:rPr>
                <w:rFonts w:ascii="宋体" w:eastAsia="宋体" w:hAnsi="宋体" w:cs="宋体"/>
                <w:kern w:val="0"/>
                <w:sz w:val="24"/>
                <w:szCs w:val="24"/>
              </w:rPr>
            </w:pPr>
            <w:r w:rsidRPr="00BB1E92">
              <w:rPr>
                <w:rFonts w:ascii="宋体" w:eastAsia="宋体" w:hAnsi="宋体" w:cs="宋体" w:hint="eastAsia"/>
                <w:b/>
                <w:bCs/>
                <w:color w:val="FF0000"/>
                <w:kern w:val="0"/>
                <w:sz w:val="36"/>
                <w:szCs w:val="36"/>
              </w:rPr>
              <w:t>铅锌冶炼工业污染防治技术政策</w:t>
            </w:r>
            <w:r w:rsidRPr="00BB1E92">
              <w:rPr>
                <w:rFonts w:ascii="宋体" w:eastAsia="宋体" w:hAnsi="宋体" w:cs="宋体" w:hint="eastAsia"/>
                <w:b/>
                <w:bCs/>
                <w:kern w:val="0"/>
                <w:sz w:val="24"/>
                <w:szCs w:val="24"/>
              </w:rPr>
              <w:t xml:space="preserve"> </w:t>
            </w:r>
          </w:p>
        </w:tc>
      </w:tr>
      <w:tr w:rsidR="00BB1E92" w:rsidRPr="00BB1E92">
        <w:trPr>
          <w:tblCellSpacing w:w="0" w:type="dxa"/>
          <w:jc w:val="center"/>
        </w:trPr>
        <w:tc>
          <w:tcPr>
            <w:tcW w:w="0" w:type="auto"/>
            <w:tcMar>
              <w:top w:w="150" w:type="dxa"/>
              <w:left w:w="0" w:type="dxa"/>
              <w:bottom w:w="150" w:type="dxa"/>
              <w:right w:w="0" w:type="dxa"/>
            </w:tcMar>
            <w:vAlign w:val="center"/>
            <w:hideMark/>
          </w:tcPr>
          <w:p w:rsidR="00BB1E92" w:rsidRPr="00BB1E92" w:rsidRDefault="00BB1E92" w:rsidP="00BB1E92">
            <w:pPr>
              <w:widowControl/>
              <w:spacing w:line="360" w:lineRule="auto"/>
              <w:jc w:val="center"/>
              <w:rPr>
                <w:rFonts w:ascii="宋体" w:eastAsia="宋体" w:hAnsi="宋体" w:cs="宋体"/>
                <w:kern w:val="0"/>
                <w:sz w:val="24"/>
                <w:szCs w:val="24"/>
              </w:rPr>
            </w:pPr>
          </w:p>
        </w:tc>
      </w:tr>
      <w:tr w:rsidR="00BB1E92" w:rsidRPr="00BB1E92">
        <w:trPr>
          <w:tblCellSpacing w:w="0" w:type="dxa"/>
          <w:jc w:val="center"/>
        </w:trPr>
        <w:tc>
          <w:tcPr>
            <w:tcW w:w="0" w:type="auto"/>
            <w:vAlign w:val="center"/>
            <w:hideMark/>
          </w:tcPr>
          <w:p w:rsidR="00BB1E92" w:rsidRPr="00BB1E92" w:rsidRDefault="00BB1E92" w:rsidP="00BB1E92">
            <w:pPr>
              <w:widowControl/>
              <w:jc w:val="center"/>
              <w:rPr>
                <w:rFonts w:ascii="宋体" w:eastAsia="宋体" w:hAnsi="宋体" w:cs="宋体"/>
                <w:kern w:val="0"/>
                <w:sz w:val="24"/>
                <w:szCs w:val="24"/>
              </w:rPr>
            </w:pPr>
            <w:r w:rsidRPr="00BB1E92">
              <w:rPr>
                <w:rFonts w:ascii="宋体" w:eastAsia="宋体" w:hAnsi="宋体" w:cs="宋体" w:hint="eastAsia"/>
                <w:kern w:val="0"/>
                <w:sz w:val="24"/>
                <w:szCs w:val="24"/>
              </w:rPr>
              <w:t>( 公告 2012年 第18号 2012-03-07实施)</w:t>
            </w:r>
          </w:p>
        </w:tc>
      </w:tr>
      <w:tr w:rsidR="00BB1E92" w:rsidRPr="00BB1E92">
        <w:trPr>
          <w:tblCellSpacing w:w="0" w:type="dxa"/>
          <w:jc w:val="center"/>
        </w:trPr>
        <w:tc>
          <w:tcPr>
            <w:tcW w:w="0" w:type="auto"/>
            <w:tcMar>
              <w:top w:w="150" w:type="dxa"/>
              <w:left w:w="0" w:type="dxa"/>
              <w:bottom w:w="150" w:type="dxa"/>
              <w:right w:w="0" w:type="dxa"/>
            </w:tcMar>
            <w:vAlign w:val="center"/>
            <w:hideMark/>
          </w:tcPr>
          <w:p w:rsidR="00BB1E92" w:rsidRPr="00BB1E92" w:rsidRDefault="00BB1E92" w:rsidP="00BB1E92">
            <w:pPr>
              <w:widowControl/>
              <w:spacing w:line="360" w:lineRule="auto"/>
              <w:jc w:val="left"/>
              <w:rPr>
                <w:rFonts w:ascii="宋体" w:eastAsia="宋体" w:hAnsi="宋体" w:cs="宋体"/>
                <w:kern w:val="0"/>
                <w:sz w:val="24"/>
                <w:szCs w:val="24"/>
              </w:rPr>
            </w:pPr>
          </w:p>
        </w:tc>
      </w:tr>
      <w:tr w:rsidR="00BB1E92" w:rsidRPr="00BB1E92">
        <w:trPr>
          <w:trHeight w:val="30"/>
          <w:tblCellSpacing w:w="0" w:type="dxa"/>
          <w:jc w:val="center"/>
        </w:trPr>
        <w:tc>
          <w:tcPr>
            <w:tcW w:w="0" w:type="auto"/>
            <w:shd w:val="clear" w:color="auto" w:fill="FF0000"/>
            <w:vAlign w:val="center"/>
            <w:hideMark/>
          </w:tcPr>
          <w:p w:rsidR="00BB1E92" w:rsidRPr="00BB1E92" w:rsidRDefault="00BB1E92" w:rsidP="00BB1E92">
            <w:pPr>
              <w:widowControl/>
              <w:jc w:val="left"/>
              <w:rPr>
                <w:rFonts w:ascii="宋体" w:eastAsia="宋体" w:hAnsi="宋体" w:cs="宋体"/>
                <w:kern w:val="0"/>
                <w:sz w:val="4"/>
                <w:szCs w:val="24"/>
              </w:rPr>
            </w:pPr>
          </w:p>
        </w:tc>
      </w:tr>
      <w:tr w:rsidR="00BB1E92" w:rsidRPr="00BB1E92">
        <w:trPr>
          <w:trHeight w:val="45"/>
          <w:tblCellSpacing w:w="0" w:type="dxa"/>
          <w:jc w:val="center"/>
        </w:trPr>
        <w:tc>
          <w:tcPr>
            <w:tcW w:w="0" w:type="auto"/>
            <w:vAlign w:val="center"/>
            <w:hideMark/>
          </w:tcPr>
          <w:p w:rsidR="00BB1E92" w:rsidRPr="00BB1E92" w:rsidRDefault="00BB1E92" w:rsidP="00BB1E92">
            <w:pPr>
              <w:widowControl/>
              <w:jc w:val="left"/>
              <w:rPr>
                <w:rFonts w:ascii="宋体" w:eastAsia="宋体" w:hAnsi="宋体" w:cs="宋体"/>
                <w:kern w:val="0"/>
                <w:sz w:val="4"/>
                <w:szCs w:val="24"/>
              </w:rPr>
            </w:pPr>
          </w:p>
        </w:tc>
      </w:tr>
    </w:tbl>
    <w:p w:rsidR="00BB1E92" w:rsidRPr="00BB1E92" w:rsidRDefault="00BB1E92" w:rsidP="00BB1E92">
      <w:pPr>
        <w:widowControl/>
        <w:jc w:val="center"/>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BB1E92" w:rsidRPr="00BB1E92">
        <w:trPr>
          <w:trHeight w:val="435"/>
          <w:tblCellSpacing w:w="0" w:type="dxa"/>
          <w:jc w:val="center"/>
          <w:hidden/>
        </w:trPr>
        <w:tc>
          <w:tcPr>
            <w:tcW w:w="0" w:type="auto"/>
            <w:vAlign w:val="center"/>
            <w:hideMark/>
          </w:tcPr>
          <w:p w:rsidR="00BB1E92" w:rsidRPr="00BB1E92" w:rsidRDefault="00BB1E92" w:rsidP="00BB1E92">
            <w:pPr>
              <w:widowControl/>
              <w:jc w:val="center"/>
              <w:rPr>
                <w:rFonts w:ascii="宋体" w:eastAsia="宋体" w:hAnsi="宋体" w:cs="宋体"/>
                <w:vanish/>
                <w:kern w:val="0"/>
                <w:sz w:val="24"/>
                <w:szCs w:val="24"/>
              </w:rPr>
            </w:pPr>
            <w:r w:rsidRPr="00BB1E92">
              <w:rPr>
                <w:rFonts w:ascii="宋体" w:eastAsia="宋体" w:hAnsi="宋体" w:cs="宋体" w:hint="eastAsia"/>
                <w:vanish/>
                <w:color w:val="989B64"/>
                <w:kern w:val="0"/>
                <w:sz w:val="24"/>
                <w:szCs w:val="24"/>
              </w:rPr>
              <w:t>2012-03-07</w:t>
            </w:r>
          </w:p>
        </w:tc>
      </w:tr>
    </w:tbl>
    <w:p w:rsidR="00BB1E92" w:rsidRPr="00BB1E92" w:rsidRDefault="00BB1E92" w:rsidP="00BB1E92">
      <w:pPr>
        <w:widowControl/>
        <w:jc w:val="center"/>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BB1E92" w:rsidRPr="00BB1E92">
        <w:trPr>
          <w:tblCellSpacing w:w="0" w:type="dxa"/>
          <w:jc w:val="center"/>
        </w:trPr>
        <w:tc>
          <w:tcPr>
            <w:tcW w:w="4500" w:type="pct"/>
            <w:tcMar>
              <w:top w:w="150" w:type="dxa"/>
              <w:left w:w="0" w:type="dxa"/>
              <w:bottom w:w="150" w:type="dxa"/>
              <w:right w:w="0" w:type="dxa"/>
            </w:tcMar>
            <w:hideMark/>
          </w:tcPr>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w:t>
            </w:r>
            <w:r w:rsidRPr="00BB1E92">
              <w:rPr>
                <w:rFonts w:ascii="宋体" w:eastAsia="宋体" w:hAnsi="宋体" w:cs="宋体" w:hint="eastAsia"/>
                <w:b/>
                <w:bCs/>
                <w:kern w:val="0"/>
                <w:sz w:val="24"/>
                <w:szCs w:val="24"/>
              </w:rPr>
              <w:t>一、总则</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（一）为贯彻《中华人民共和国环境保护法》等法律法规，防治环境污染，保障生态安全和人体健康，促进铅锌冶炼工业生产工艺和污染治理技术的进步，制定本技术政策。</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本技术政策为指导性文件，供各有关单位在建设项目和现有企业的管理、设计、建设、生产、科研等工作中参照采用；本技术政策适用于铅锌冶炼工业，包括以铅锌原生矿为原料的冶炼业和以废旧金属为原料的铅锌再生业。</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（三）铅锌冶炼业应加大产业结构调整和产品优化升级的力度，合理规划产业布局，进一步提高产业集中度和规模化水平，加快淘汰低水平落后产能，实行产能等量或减量置换。</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在水源保护区、基本农田区、蔬菜基地、自然保护区、重要生态功能区、重要养殖基地、城镇人口密集区等环境敏感区及其防护区内，要严格限制新（改、扩）建铅锌冶炼和再生项目；区域内存在现有企业的，应适时调整规划，促使其治理、转产或迁出。</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五）铅锌冶炼业新建、扩建项目应优先采用一级标准或更先进的清洁生产工艺，改建项目的生产工艺不宜低于二级清洁生产标准。企业排放污染物应稳定达标，重点区域内企业排放的废气和废水中铅、砷、镉等重金属量应明显减少，到2015年，固体废物综合利用（或无害化处置）率要达到100%。</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（六）铅锌冶炼业重金属污染防治工作，要坚持“减量化、资源化、无害化”的原则，实行以清洁生产为核心、以</w:t>
            </w:r>
            <w:proofErr w:type="gramStart"/>
            <w:r w:rsidRPr="00BB1E92">
              <w:rPr>
                <w:rFonts w:ascii="宋体" w:eastAsia="宋体" w:hAnsi="宋体" w:cs="宋体" w:hint="eastAsia"/>
                <w:kern w:val="0"/>
                <w:sz w:val="24"/>
                <w:szCs w:val="24"/>
              </w:rPr>
              <w:t>重金属污染物减排为</w:t>
            </w:r>
            <w:proofErr w:type="gramEnd"/>
            <w:r w:rsidRPr="00BB1E92">
              <w:rPr>
                <w:rFonts w:ascii="宋体" w:eastAsia="宋体" w:hAnsi="宋体" w:cs="宋体" w:hint="eastAsia"/>
                <w:kern w:val="0"/>
                <w:sz w:val="24"/>
                <w:szCs w:val="24"/>
              </w:rPr>
              <w:t>重点、</w:t>
            </w:r>
            <w:r w:rsidRPr="00BB1E92">
              <w:rPr>
                <w:rFonts w:ascii="宋体" w:eastAsia="宋体" w:hAnsi="宋体" w:cs="宋体" w:hint="eastAsia"/>
                <w:kern w:val="0"/>
                <w:sz w:val="24"/>
                <w:szCs w:val="24"/>
              </w:rPr>
              <w:lastRenderedPageBreak/>
              <w:t>以可行有效的污染防治技术为支撑、以风险防范为保障的综合防治技术路线。</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（七）鼓励企业按照循环经济和生态工业的要求，采取铅锌联合冶炼、配套综合回收、产品关联延伸等措施，提高资源利用率，减少废物的产生量。</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（八）废铅酸蓄电池的拆解，应按照《废电池污染防治技术政策》的要求进行。</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（九）要采取有效措施，切实防范铅锌冶炼业企业生产过程中的环境和健康风险。对新（改、扩）建企业和现有企业，应根据企业所在地的自然条件和环境敏感区域的方位，科学地设置防护距离。</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w:t>
            </w:r>
            <w:r w:rsidRPr="00BB1E92">
              <w:rPr>
                <w:rFonts w:ascii="宋体" w:eastAsia="宋体" w:hAnsi="宋体" w:cs="宋体" w:hint="eastAsia"/>
                <w:b/>
                <w:bCs/>
                <w:kern w:val="0"/>
                <w:sz w:val="24"/>
                <w:szCs w:val="24"/>
              </w:rPr>
              <w:t>二、清洁生产</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为防范环境风险，对每一批矿物原料均应进行全成分分析，严格控制原料中汞、砷、镉、铊、铍等有害元素含量。无汞回收装置的冶炼厂，不应使用汞含量高于0.01%的原料。含汞的废渣作为铅锌冶炼配料使用时，应先回收汞，再进行铅锌冶炼。</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（二）在矿物原料的运输、储存和备料等过程中，应采取密闭等措施，防止物料扬撒。原料、中间产品和成品不宜露天堆放。</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（三）鼓励采用符合一、二级清洁生产标准</w:t>
            </w:r>
            <w:proofErr w:type="gramStart"/>
            <w:r w:rsidRPr="00BB1E92">
              <w:rPr>
                <w:rFonts w:ascii="宋体" w:eastAsia="宋体" w:hAnsi="宋体" w:cs="宋体" w:hint="eastAsia"/>
                <w:kern w:val="0"/>
                <w:sz w:val="24"/>
                <w:szCs w:val="24"/>
              </w:rPr>
              <w:t>的铅短流程</w:t>
            </w:r>
            <w:proofErr w:type="gramEnd"/>
            <w:r w:rsidRPr="00BB1E92">
              <w:rPr>
                <w:rFonts w:ascii="宋体" w:eastAsia="宋体" w:hAnsi="宋体" w:cs="宋体" w:hint="eastAsia"/>
                <w:kern w:val="0"/>
                <w:sz w:val="24"/>
                <w:szCs w:val="24"/>
              </w:rPr>
              <w:t>富氧熔炼工艺，要在3-5年内淘汰不符合清洁生产标准的铅锌冶炼工艺、设备。</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（四）应提高铅锌冶炼各工序中铅、汞、砷、镉、铊、铍和</w:t>
            </w:r>
            <w:proofErr w:type="gramStart"/>
            <w:r w:rsidRPr="00BB1E92">
              <w:rPr>
                <w:rFonts w:ascii="宋体" w:eastAsia="宋体" w:hAnsi="宋体" w:cs="宋体" w:hint="eastAsia"/>
                <w:kern w:val="0"/>
                <w:sz w:val="24"/>
                <w:szCs w:val="24"/>
              </w:rPr>
              <w:t>硫等</w:t>
            </w:r>
            <w:proofErr w:type="gramEnd"/>
            <w:r w:rsidRPr="00BB1E92">
              <w:rPr>
                <w:rFonts w:ascii="宋体" w:eastAsia="宋体" w:hAnsi="宋体" w:cs="宋体" w:hint="eastAsia"/>
                <w:kern w:val="0"/>
                <w:sz w:val="24"/>
                <w:szCs w:val="24"/>
              </w:rPr>
              <w:t>元素的回收率，最大限度地减少排放量。</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（五）</w:t>
            </w:r>
            <w:proofErr w:type="gramStart"/>
            <w:r w:rsidRPr="00BB1E92">
              <w:rPr>
                <w:rFonts w:ascii="宋体" w:eastAsia="宋体" w:hAnsi="宋体" w:cs="宋体" w:hint="eastAsia"/>
                <w:kern w:val="0"/>
                <w:sz w:val="24"/>
                <w:szCs w:val="24"/>
              </w:rPr>
              <w:t>铅产品</w:t>
            </w:r>
            <w:proofErr w:type="gramEnd"/>
            <w:r w:rsidRPr="00BB1E92">
              <w:rPr>
                <w:rFonts w:ascii="宋体" w:eastAsia="宋体" w:hAnsi="宋体" w:cs="宋体" w:hint="eastAsia"/>
                <w:kern w:val="0"/>
                <w:sz w:val="24"/>
                <w:szCs w:val="24"/>
              </w:rPr>
              <w:t>及含铅组件上应有成分和再利用标志；废铅产品及含铅、锌、砷、汞、镉、</w:t>
            </w:r>
            <w:proofErr w:type="gramStart"/>
            <w:r w:rsidRPr="00BB1E92">
              <w:rPr>
                <w:rFonts w:ascii="宋体" w:eastAsia="宋体" w:hAnsi="宋体" w:cs="宋体" w:hint="eastAsia"/>
                <w:kern w:val="0"/>
                <w:sz w:val="24"/>
                <w:szCs w:val="24"/>
              </w:rPr>
              <w:t>铊等有害</w:t>
            </w:r>
            <w:proofErr w:type="gramEnd"/>
            <w:r w:rsidRPr="00BB1E92">
              <w:rPr>
                <w:rFonts w:ascii="宋体" w:eastAsia="宋体" w:hAnsi="宋体" w:cs="宋体" w:hint="eastAsia"/>
                <w:kern w:val="0"/>
                <w:sz w:val="24"/>
                <w:szCs w:val="24"/>
              </w:rPr>
              <w:t>元素的物料，应就地回收，按固体废物</w:t>
            </w:r>
            <w:r w:rsidRPr="00BB1E92">
              <w:rPr>
                <w:rFonts w:ascii="宋体" w:eastAsia="宋体" w:hAnsi="宋体" w:cs="宋体" w:hint="eastAsia"/>
                <w:kern w:val="0"/>
                <w:sz w:val="24"/>
                <w:szCs w:val="24"/>
              </w:rPr>
              <w:lastRenderedPageBreak/>
              <w:t>管理的有关规定进行鉴别、处理。</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（六）应采用湿法工艺，对铅、锌电解产生的阳极泥进行处理，回收金、银、锑、铋、铅、铜等金属，残渣应按固体废物管理要求妥善处理。</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（七）采用废旧金属进行再生铅锌冶炼，应控制原料中的氯元素含量，烟气应采用急冷、活性炭吸附、布袋除尘等净化技术，严格控制二噁英的产生和排放。</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w:t>
            </w:r>
            <w:r w:rsidRPr="00BB1E92">
              <w:rPr>
                <w:rFonts w:ascii="宋体" w:eastAsia="宋体" w:hAnsi="宋体" w:cs="宋体" w:hint="eastAsia"/>
                <w:b/>
                <w:bCs/>
                <w:kern w:val="0"/>
                <w:sz w:val="24"/>
                <w:szCs w:val="24"/>
              </w:rPr>
              <w:t>三、大气污染防治</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（一）铅锌冶炼的烟气应采取负压工况收集、处理。对无法完全密闭的排放点，采用集气装置严格控制废气无组织排放。根据气象条件，采用重点区域洒水等措施，防止扬尘污染。</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（二）鼓励采用微孔膜复合滤料等新型织物材料的布袋除尘器及其他高效除尘器，处理含铅、锌等重金属颗粒物的烟气。</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（三）冶炼烟气中的二氧化硫应进行回收，生产硫酸或其他产品。鼓励采用绝热蒸发稀酸净化、</w:t>
            </w:r>
            <w:proofErr w:type="gramStart"/>
            <w:r w:rsidRPr="00BB1E92">
              <w:rPr>
                <w:rFonts w:ascii="宋体" w:eastAsia="宋体" w:hAnsi="宋体" w:cs="宋体" w:hint="eastAsia"/>
                <w:kern w:val="0"/>
                <w:sz w:val="24"/>
                <w:szCs w:val="24"/>
              </w:rPr>
              <w:t>双接触</w:t>
            </w:r>
            <w:proofErr w:type="gramEnd"/>
            <w:r w:rsidRPr="00BB1E92">
              <w:rPr>
                <w:rFonts w:ascii="宋体" w:eastAsia="宋体" w:hAnsi="宋体" w:cs="宋体" w:hint="eastAsia"/>
                <w:kern w:val="0"/>
                <w:sz w:val="24"/>
                <w:szCs w:val="24"/>
              </w:rPr>
              <w:t>法等制酸技术。制酸尾气应采取除酸雾等净化措施后，达标排放。</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（四）鼓励采用氯化法、碘化法等先进、高效的汞回收及烟气脱</w:t>
            </w:r>
            <w:proofErr w:type="gramStart"/>
            <w:r w:rsidRPr="00BB1E92">
              <w:rPr>
                <w:rFonts w:ascii="宋体" w:eastAsia="宋体" w:hAnsi="宋体" w:cs="宋体" w:hint="eastAsia"/>
                <w:kern w:val="0"/>
                <w:sz w:val="24"/>
                <w:szCs w:val="24"/>
              </w:rPr>
              <w:t>汞技术</w:t>
            </w:r>
            <w:proofErr w:type="gramEnd"/>
            <w:r w:rsidRPr="00BB1E92">
              <w:rPr>
                <w:rFonts w:ascii="宋体" w:eastAsia="宋体" w:hAnsi="宋体" w:cs="宋体" w:hint="eastAsia"/>
                <w:kern w:val="0"/>
                <w:sz w:val="24"/>
                <w:szCs w:val="24"/>
              </w:rPr>
              <w:t>处理含汞烟气。</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（五）铅电解及湿法炼锌时，电解槽酸雾应收集净化处理；</w:t>
            </w:r>
            <w:proofErr w:type="gramStart"/>
            <w:r w:rsidRPr="00BB1E92">
              <w:rPr>
                <w:rFonts w:ascii="宋体" w:eastAsia="宋体" w:hAnsi="宋体" w:cs="宋体" w:hint="eastAsia"/>
                <w:kern w:val="0"/>
                <w:sz w:val="24"/>
                <w:szCs w:val="24"/>
              </w:rPr>
              <w:t>锌</w:t>
            </w:r>
            <w:proofErr w:type="gramEnd"/>
            <w:r w:rsidRPr="00BB1E92">
              <w:rPr>
                <w:rFonts w:ascii="宋体" w:eastAsia="宋体" w:hAnsi="宋体" w:cs="宋体" w:hint="eastAsia"/>
                <w:kern w:val="0"/>
                <w:sz w:val="24"/>
                <w:szCs w:val="24"/>
              </w:rPr>
              <w:t>浸出槽和净化槽均应配套废气收集、气液分离或除雾装置。</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（六）对散发危害人体健康气体的工序，应采取抑制、有组织收集与净化等措施，改善作业区和厂区的环境空气质量。</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lastRenderedPageBreak/>
              <w:t xml:space="preserve">　　</w:t>
            </w:r>
            <w:r w:rsidRPr="00BB1E92">
              <w:rPr>
                <w:rFonts w:ascii="宋体" w:eastAsia="宋体" w:hAnsi="宋体" w:cs="宋体" w:hint="eastAsia"/>
                <w:b/>
                <w:bCs/>
                <w:kern w:val="0"/>
                <w:sz w:val="24"/>
                <w:szCs w:val="24"/>
              </w:rPr>
              <w:t>四、固体废物处置与综合利用</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应按照法律法规的规定，开展固体废物管理和危险废物鉴别工作。不可再利用的铅锌冶炼废渣经鉴定为危险废物的，应稳定化处理后进行安全填埋处置。渣场应采取防渗和清污分流措施，设立防渗污水收集池，防止渗滤液污染土壤、地表水和地下水。</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（二）鼓励以无害的</w:t>
            </w:r>
            <w:proofErr w:type="gramStart"/>
            <w:r w:rsidRPr="00BB1E92">
              <w:rPr>
                <w:rFonts w:ascii="宋体" w:eastAsia="宋体" w:hAnsi="宋体" w:cs="宋体" w:hint="eastAsia"/>
                <w:kern w:val="0"/>
                <w:sz w:val="24"/>
                <w:szCs w:val="24"/>
              </w:rPr>
              <w:t>熔炼水</w:t>
            </w:r>
            <w:proofErr w:type="gramEnd"/>
            <w:r w:rsidRPr="00BB1E92">
              <w:rPr>
                <w:rFonts w:ascii="宋体" w:eastAsia="宋体" w:hAnsi="宋体" w:cs="宋体" w:hint="eastAsia"/>
                <w:kern w:val="0"/>
                <w:sz w:val="24"/>
                <w:szCs w:val="24"/>
              </w:rPr>
              <w:t>淬渣为原料，生产建材原料、制品、路基材料等，以减少占地、提高废旧资源综合利用率。</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（三）铅冶炼过程中产生的炉渣、黄渣、氧化铅渣、铅再生渣等宜采用富氧熔炼或选矿方法回收铅、锌、铜、锑等金属。</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（四）湿法炼锌浸出渣，宜采用富氧熔炼及烟化炉等工艺先回收锌、铅、铜等金属后再利用，或通过直接炼铅工艺搭配处理。热酸浸出渣</w:t>
            </w:r>
            <w:proofErr w:type="gramStart"/>
            <w:r w:rsidRPr="00BB1E92">
              <w:rPr>
                <w:rFonts w:ascii="宋体" w:eastAsia="宋体" w:hAnsi="宋体" w:cs="宋体" w:hint="eastAsia"/>
                <w:kern w:val="0"/>
                <w:sz w:val="24"/>
                <w:szCs w:val="24"/>
              </w:rPr>
              <w:t>宜送铅冶炼</w:t>
            </w:r>
            <w:proofErr w:type="gramEnd"/>
            <w:r w:rsidRPr="00BB1E92">
              <w:rPr>
                <w:rFonts w:ascii="宋体" w:eastAsia="宋体" w:hAnsi="宋体" w:cs="宋体" w:hint="eastAsia"/>
                <w:kern w:val="0"/>
                <w:sz w:val="24"/>
                <w:szCs w:val="24"/>
              </w:rPr>
              <w:t>系统或委托有资质的单位回收铅、银等有价金属后再利用。</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（五）冶炼烟气中收集的烟（粉）尘，除了含汞、砷、镉的外，应密闭返回冶炼配料系统，或直接采用湿法提取有价金属。</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六）烟气稀酸洗涤产生的含铅、砷等重金属的酸泥，应回收有价金属，含汞污泥应及时回收汞。生产区下水道污泥、收集池沉渣以及废水处理污泥等不可回收的废物，应密闭储存，在稳定化和固化后，安全填埋处置。 </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w:t>
            </w:r>
            <w:r w:rsidRPr="00BB1E92">
              <w:rPr>
                <w:rFonts w:ascii="宋体" w:eastAsia="宋体" w:hAnsi="宋体" w:cs="宋体" w:hint="eastAsia"/>
                <w:b/>
                <w:bCs/>
                <w:kern w:val="0"/>
                <w:sz w:val="24"/>
                <w:szCs w:val="24"/>
              </w:rPr>
              <w:t>五、水污染防治</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（一）铅锌冶炼和再生过程排放的废水应循环利用，水循环率应达到90%以上，鼓励生产废水全部循环利用。</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（二）含铅、汞、镉、砷、镍、铬等重金属的生产废水，应按照国家排放标准的规定，在其产生的车间或生产设施进行分质处理或回用，</w:t>
            </w:r>
            <w:r w:rsidRPr="00BB1E92">
              <w:rPr>
                <w:rFonts w:ascii="宋体" w:eastAsia="宋体" w:hAnsi="宋体" w:cs="宋体" w:hint="eastAsia"/>
                <w:kern w:val="0"/>
                <w:sz w:val="24"/>
                <w:szCs w:val="24"/>
              </w:rPr>
              <w:lastRenderedPageBreak/>
              <w:t>不得将含</w:t>
            </w:r>
            <w:proofErr w:type="gramStart"/>
            <w:r w:rsidRPr="00BB1E92">
              <w:rPr>
                <w:rFonts w:ascii="宋体" w:eastAsia="宋体" w:hAnsi="宋体" w:cs="宋体" w:hint="eastAsia"/>
                <w:kern w:val="0"/>
                <w:sz w:val="24"/>
                <w:szCs w:val="24"/>
              </w:rPr>
              <w:t>不</w:t>
            </w:r>
            <w:proofErr w:type="gramEnd"/>
            <w:r w:rsidRPr="00BB1E92">
              <w:rPr>
                <w:rFonts w:ascii="宋体" w:eastAsia="宋体" w:hAnsi="宋体" w:cs="宋体" w:hint="eastAsia"/>
                <w:kern w:val="0"/>
                <w:sz w:val="24"/>
                <w:szCs w:val="24"/>
              </w:rPr>
              <w:t>同类的重金属成分或浓度差别大的废水混合稀释。</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（三）生产区初期雨水、地面冲洗水、渣场渗滤液和生活污水应收集处理，循环利用或达标排放。</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（四）含重金属的生产废水，可按照其水质及处理要求，分别采用化学沉淀法，生物（剂）法，吸附法，电化学法和膜分离法等单一或组合工艺进行处理。</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（五）对储存和使用有毒物质的车间和存在泄漏风险的装置，应设置防渗的事故废水收集池；初期雨水的收集池应采取防渗措施。</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w:t>
            </w:r>
            <w:r w:rsidRPr="00BB1E92">
              <w:rPr>
                <w:rFonts w:ascii="宋体" w:eastAsia="宋体" w:hAnsi="宋体" w:cs="宋体" w:hint="eastAsia"/>
                <w:b/>
                <w:bCs/>
                <w:kern w:val="0"/>
                <w:sz w:val="24"/>
                <w:szCs w:val="24"/>
              </w:rPr>
              <w:t>六、鼓励研发的新技术</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鼓励研究、开发、推广以下技术：</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（一）环境友好的铅富氧闪速熔炼和短流程连续熔炼新工艺，液态</w:t>
            </w:r>
            <w:proofErr w:type="gramStart"/>
            <w:r w:rsidRPr="00BB1E92">
              <w:rPr>
                <w:rFonts w:ascii="宋体" w:eastAsia="宋体" w:hAnsi="宋体" w:cs="宋体" w:hint="eastAsia"/>
                <w:kern w:val="0"/>
                <w:sz w:val="24"/>
                <w:szCs w:val="24"/>
              </w:rPr>
              <w:t>高铅渣</w:t>
            </w:r>
            <w:proofErr w:type="gramEnd"/>
            <w:r w:rsidRPr="00BB1E92">
              <w:rPr>
                <w:rFonts w:ascii="宋体" w:eastAsia="宋体" w:hAnsi="宋体" w:cs="宋体" w:hint="eastAsia"/>
                <w:kern w:val="0"/>
                <w:sz w:val="24"/>
                <w:szCs w:val="24"/>
              </w:rPr>
              <w:t>直接还原等技术；</w:t>
            </w:r>
            <w:proofErr w:type="gramStart"/>
            <w:r w:rsidRPr="00BB1E92">
              <w:rPr>
                <w:rFonts w:ascii="宋体" w:eastAsia="宋体" w:hAnsi="宋体" w:cs="宋体" w:hint="eastAsia"/>
                <w:kern w:val="0"/>
                <w:sz w:val="24"/>
                <w:szCs w:val="24"/>
              </w:rPr>
              <w:t>锌</w:t>
            </w:r>
            <w:proofErr w:type="gramEnd"/>
            <w:r w:rsidRPr="00BB1E92">
              <w:rPr>
                <w:rFonts w:ascii="宋体" w:eastAsia="宋体" w:hAnsi="宋体" w:cs="宋体" w:hint="eastAsia"/>
                <w:kern w:val="0"/>
                <w:sz w:val="24"/>
                <w:szCs w:val="24"/>
              </w:rPr>
              <w:t>直接浸出和大极板、长周期电解产业化技术；铅锌再生、综合回收的新工艺和设备。</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（二）烟气高效收集装置，深度脱除烟气中铅、汞、</w:t>
            </w:r>
            <w:proofErr w:type="gramStart"/>
            <w:r w:rsidRPr="00BB1E92">
              <w:rPr>
                <w:rFonts w:ascii="宋体" w:eastAsia="宋体" w:hAnsi="宋体" w:cs="宋体" w:hint="eastAsia"/>
                <w:kern w:val="0"/>
                <w:sz w:val="24"/>
                <w:szCs w:val="24"/>
              </w:rPr>
              <w:t>铊等重金属</w:t>
            </w:r>
            <w:proofErr w:type="gramEnd"/>
            <w:r w:rsidRPr="00BB1E92">
              <w:rPr>
                <w:rFonts w:ascii="宋体" w:eastAsia="宋体" w:hAnsi="宋体" w:cs="宋体" w:hint="eastAsia"/>
                <w:kern w:val="0"/>
                <w:sz w:val="24"/>
                <w:szCs w:val="24"/>
              </w:rPr>
              <w:t>的技术与设备，小粒径重金属烟尘高效去除技术与装置。</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（三）湿法烟气制酸技术，低浓度二氧化硫烟气制酸和脱硫回收的新技术；制酸尾气除雾、</w:t>
            </w:r>
            <w:proofErr w:type="gramStart"/>
            <w:r w:rsidRPr="00BB1E92">
              <w:rPr>
                <w:rFonts w:ascii="宋体" w:eastAsia="宋体" w:hAnsi="宋体" w:cs="宋体" w:hint="eastAsia"/>
                <w:kern w:val="0"/>
                <w:sz w:val="24"/>
                <w:szCs w:val="24"/>
              </w:rPr>
              <w:t>洗涤污酸净化</w:t>
            </w:r>
            <w:proofErr w:type="gramEnd"/>
            <w:r w:rsidRPr="00BB1E92">
              <w:rPr>
                <w:rFonts w:ascii="宋体" w:eastAsia="宋体" w:hAnsi="宋体" w:cs="宋体" w:hint="eastAsia"/>
                <w:kern w:val="0"/>
                <w:sz w:val="24"/>
                <w:szCs w:val="24"/>
              </w:rPr>
              <w:t>循环利用等技术和装备。</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（四）从固体废物中回收铅、锌、镉、汞、砷、硒等有价成分的技术，利用固体废物制备高附加值产品技术，湿法炼锌中铁渣减排及铁资源利用、锌浸出渣熔炼技术与装备。</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（五）高效去除含铅、锌、镉、汞、砷等废水的深度处理技术，膜、生物及电解等高效分离、回用的成套技术和装置等。</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lastRenderedPageBreak/>
              <w:t xml:space="preserve">　　（六）具有自主知识产权的铅锌冶炼与污染物处理工艺及污染物排放全过程检测的自动控制技术、新型仪器与装置；</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（七）重金属污染水体与土壤的环境修复技术，重点是铅锌冶炼厂废水排放口、渣场下游水体和土壤的修复。</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w:t>
            </w:r>
            <w:r w:rsidRPr="00BB1E92">
              <w:rPr>
                <w:rFonts w:ascii="宋体" w:eastAsia="宋体" w:hAnsi="宋体" w:cs="宋体" w:hint="eastAsia"/>
                <w:b/>
                <w:bCs/>
                <w:kern w:val="0"/>
                <w:sz w:val="24"/>
                <w:szCs w:val="24"/>
              </w:rPr>
              <w:t>七、污染防治管理与监督</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一）应按照有关法律法规及国家和地方排放标准的规定，对企业排污情况进行监督和监测，设置在线监测装置并与环保部门的监控系统联网；定期对企业周围空气、水、土壤的环境质量状况进行监测，了解企业生产对环境和健康的影响程度。</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（二）企业应增强社会责任意识，加强环境风险管理，制定环境风险管理制度和重金属污染事故应急预案并定期演练。</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（三）企业应保证铅锌冶炼的污染治理设施与生产设施同时配套建设并正常运行。发生紧急事故或故障造成重金属污染治理设施停运时，应按应急预案立即采取补救措施。</w:t>
            </w:r>
          </w:p>
          <w:p w:rsidR="00BB1E92" w:rsidRPr="00BB1E92" w:rsidRDefault="00BB1E92" w:rsidP="00BB1E92">
            <w:pPr>
              <w:widowControl/>
              <w:spacing w:before="100" w:beforeAutospacing="1" w:after="100" w:afterAutospacing="1" w:line="360" w:lineRule="auto"/>
              <w:jc w:val="left"/>
              <w:rPr>
                <w:rFonts w:ascii="宋体" w:eastAsia="宋体" w:hAnsi="宋体" w:cs="宋体" w:hint="eastAsia"/>
                <w:kern w:val="0"/>
                <w:sz w:val="24"/>
                <w:szCs w:val="24"/>
              </w:rPr>
            </w:pPr>
            <w:r w:rsidRPr="00BB1E92">
              <w:rPr>
                <w:rFonts w:ascii="宋体" w:eastAsia="宋体" w:hAnsi="宋体" w:cs="宋体" w:hint="eastAsia"/>
                <w:kern w:val="0"/>
                <w:sz w:val="24"/>
                <w:szCs w:val="24"/>
              </w:rPr>
              <w:t xml:space="preserve">　　（四）应按照有关规定，开展清洁生产工作，提高污染防治技术水平，确保环境安全。</w:t>
            </w:r>
          </w:p>
          <w:p w:rsidR="00BB1E92" w:rsidRPr="00BB1E92" w:rsidRDefault="00BB1E92" w:rsidP="00BB1E92">
            <w:pPr>
              <w:widowControl/>
              <w:spacing w:before="100" w:beforeAutospacing="1" w:after="100" w:afterAutospacing="1" w:line="360" w:lineRule="auto"/>
              <w:jc w:val="left"/>
              <w:rPr>
                <w:rFonts w:ascii="宋体" w:eastAsia="宋体" w:hAnsi="宋体" w:cs="宋体"/>
                <w:kern w:val="0"/>
                <w:sz w:val="24"/>
                <w:szCs w:val="24"/>
              </w:rPr>
            </w:pPr>
            <w:r w:rsidRPr="00BB1E92">
              <w:rPr>
                <w:rFonts w:ascii="宋体" w:eastAsia="宋体" w:hAnsi="宋体" w:cs="宋体" w:hint="eastAsia"/>
                <w:kern w:val="0"/>
                <w:sz w:val="24"/>
                <w:szCs w:val="24"/>
              </w:rPr>
              <w:t xml:space="preserve">　　（五）企业搬迁或关闭后，拟对场地进行再次开发利用时，应根据用途进行风险评价，并按规定采取相关措施。</w:t>
            </w:r>
          </w:p>
        </w:tc>
      </w:tr>
    </w:tbl>
    <w:p w:rsidR="00BB1E92" w:rsidRPr="00BB1E92" w:rsidRDefault="00BB1E92" w:rsidP="00BB1E92">
      <w:pPr>
        <w:widowControl/>
        <w:jc w:val="center"/>
        <w:rPr>
          <w:rFonts w:ascii="宋体" w:eastAsia="宋体" w:hAnsi="宋体" w:cs="宋体"/>
          <w:vanish/>
          <w:kern w:val="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B1E92" w:rsidRPr="00BB1E92">
        <w:trPr>
          <w:tblCellSpacing w:w="0" w:type="dxa"/>
          <w:jc w:val="center"/>
        </w:trPr>
        <w:tc>
          <w:tcPr>
            <w:tcW w:w="0" w:type="auto"/>
            <w:vAlign w:val="center"/>
            <w:hideMark/>
          </w:tcPr>
          <w:p w:rsidR="00BB1E92" w:rsidRPr="00BB1E92" w:rsidRDefault="00BB1E92" w:rsidP="00BB1E92">
            <w:pPr>
              <w:widowControl/>
              <w:jc w:val="center"/>
              <w:rPr>
                <w:rFonts w:ascii="宋体" w:eastAsia="宋体" w:hAnsi="宋体" w:cs="宋体"/>
                <w:kern w:val="0"/>
                <w:sz w:val="24"/>
                <w:szCs w:val="24"/>
              </w:rPr>
            </w:pPr>
            <w:bookmarkStart w:id="0" w:name="_GoBack"/>
            <w:bookmarkEnd w:id="0"/>
          </w:p>
        </w:tc>
      </w:tr>
    </w:tbl>
    <w:p w:rsidR="00BB1E92" w:rsidRPr="00BB1E92" w:rsidRDefault="00BB1E92" w:rsidP="00BB1E92">
      <w:pPr>
        <w:widowControl/>
        <w:jc w:val="center"/>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2536"/>
        <w:gridCol w:w="4939"/>
      </w:tblGrid>
      <w:tr w:rsidR="00BB1E92" w:rsidRPr="00BB1E92">
        <w:trPr>
          <w:trHeight w:val="375"/>
          <w:tblCellSpacing w:w="0" w:type="dxa"/>
          <w:jc w:val="center"/>
        </w:trPr>
        <w:tc>
          <w:tcPr>
            <w:tcW w:w="3435" w:type="dxa"/>
            <w:vAlign w:val="center"/>
            <w:hideMark/>
          </w:tcPr>
          <w:p w:rsidR="00BB1E92" w:rsidRPr="00BB1E92" w:rsidRDefault="00BB1E92" w:rsidP="00BB1E92">
            <w:pPr>
              <w:widowControl/>
              <w:jc w:val="left"/>
              <w:rPr>
                <w:rFonts w:ascii="宋体" w:eastAsia="宋体" w:hAnsi="宋体" w:cs="宋体"/>
                <w:kern w:val="0"/>
                <w:sz w:val="24"/>
                <w:szCs w:val="24"/>
              </w:rPr>
            </w:pPr>
          </w:p>
        </w:tc>
        <w:tc>
          <w:tcPr>
            <w:tcW w:w="6690" w:type="dxa"/>
            <w:vAlign w:val="bottom"/>
            <w:hideMark/>
          </w:tcPr>
          <w:p w:rsidR="00BB1E92" w:rsidRPr="00BB1E92" w:rsidRDefault="00BB1E92" w:rsidP="00BB1E92">
            <w:pPr>
              <w:widowControl/>
              <w:jc w:val="right"/>
              <w:rPr>
                <w:rFonts w:ascii="宋体" w:eastAsia="宋体" w:hAnsi="宋体" w:cs="宋体"/>
                <w:kern w:val="0"/>
                <w:sz w:val="24"/>
                <w:szCs w:val="24"/>
              </w:rPr>
            </w:pPr>
          </w:p>
        </w:tc>
      </w:tr>
    </w:tbl>
    <w:p w:rsidR="00712FAC" w:rsidRDefault="00712FAC"/>
    <w:sectPr w:rsidR="00712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8C"/>
    <w:rsid w:val="00712FAC"/>
    <w:rsid w:val="00BB1E92"/>
    <w:rsid w:val="00EA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E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1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E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1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2013-02-27T02:11:00Z</dcterms:created>
  <dcterms:modified xsi:type="dcterms:W3CDTF">2013-02-27T02:12:00Z</dcterms:modified>
</cp:coreProperties>
</file>